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5F2" w:rsidRDefault="002865F2">
      <w:pPr>
        <w:keepNext/>
        <w:pBdr>
          <w:top w:val="nil"/>
          <w:left w:val="nil"/>
          <w:bottom w:val="nil"/>
          <w:right w:val="nil"/>
          <w:between w:val="nil"/>
        </w:pBdr>
        <w:ind w:left="0"/>
        <w:jc w:val="left"/>
        <w:rPr>
          <w:rFonts w:eastAsia="Arial"/>
          <w:b/>
          <w:color w:val="000000"/>
          <w:sz w:val="32"/>
          <w:szCs w:val="32"/>
        </w:rPr>
      </w:pPr>
    </w:p>
    <w:p w:rsidR="002865F2" w:rsidRDefault="00B91089">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Order Schedule 8 (Business Continuity and Disaster Recovery)</w:t>
      </w:r>
    </w:p>
    <w:p w:rsidR="002865F2" w:rsidRDefault="00B91089">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eastAsia="Arial"/>
          <w:b/>
          <w:color w:val="000000"/>
          <w:sz w:val="24"/>
          <w:szCs w:val="24"/>
        </w:rPr>
        <w:t>efinitions</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26" w:type="dxa"/>
        <w:tblInd w:w="1008" w:type="dxa"/>
        <w:tblLayout w:type="fixed"/>
        <w:tblLook w:val="0400" w:firstRow="0" w:lastRow="0" w:firstColumn="0" w:lastColumn="0" w:noHBand="0" w:noVBand="1"/>
      </w:tblPr>
      <w:tblGrid>
        <w:gridCol w:w="2040"/>
        <w:gridCol w:w="6086"/>
      </w:tblGrid>
      <w:tr w:rsidR="002865F2">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“Accounting Reference Date”</w:t>
            </w:r>
          </w:p>
          <w:p w:rsidR="002865F2" w:rsidRDefault="002865F2">
            <w:pPr>
              <w:pBdr>
                <w:top w:val="nil"/>
                <w:left w:val="nil"/>
                <w:bottom w:val="nil"/>
                <w:right w:val="nil"/>
                <w:between w:val="nil"/>
              </w:pBdr>
              <w:spacing w:after="120"/>
              <w:ind w:left="-108"/>
              <w:jc w:val="left"/>
              <w:rPr>
                <w:rFonts w:eastAsia="Arial"/>
                <w:b/>
                <w:color w:val="000000"/>
                <w:sz w:val="24"/>
                <w:szCs w:val="24"/>
              </w:rPr>
            </w:pPr>
          </w:p>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6086" w:type="dxa"/>
          </w:tcPr>
          <w:p w:rsidR="002865F2" w:rsidRDefault="00B91089" w:rsidP="00CE7CA6">
            <w:pPr>
              <w:pBdr>
                <w:top w:val="nil"/>
                <w:left w:val="nil"/>
                <w:bottom w:val="nil"/>
                <w:right w:val="nil"/>
                <w:between w:val="nil"/>
              </w:pBdr>
              <w:tabs>
                <w:tab w:val="left" w:pos="-9"/>
              </w:tabs>
              <w:spacing w:after="120"/>
              <w:ind w:left="170"/>
              <w:jc w:val="left"/>
              <w:rPr>
                <w:rFonts w:eastAsia="Arial"/>
                <w:color w:val="000000"/>
                <w:sz w:val="24"/>
                <w:szCs w:val="24"/>
              </w:rPr>
            </w:pPr>
            <w:r>
              <w:rPr>
                <w:rFonts w:eastAsia="Arial"/>
                <w:color w:val="000000"/>
                <w:sz w:val="24"/>
                <w:szCs w:val="24"/>
              </w:rPr>
              <w:t>means in each year the date to which the Supplier prepares its annual audited financial statements;</w:t>
            </w:r>
          </w:p>
          <w:p w:rsidR="002865F2" w:rsidRDefault="002865F2" w:rsidP="00B91089">
            <w:pPr>
              <w:pBdr>
                <w:top w:val="nil"/>
                <w:left w:val="nil"/>
                <w:bottom w:val="nil"/>
                <w:right w:val="nil"/>
                <w:between w:val="nil"/>
              </w:pBdr>
              <w:tabs>
                <w:tab w:val="left" w:pos="-9"/>
              </w:tabs>
              <w:spacing w:after="120"/>
              <w:ind w:left="170"/>
              <w:jc w:val="left"/>
              <w:rPr>
                <w:rFonts w:eastAsia="Arial"/>
                <w:color w:val="000000"/>
                <w:sz w:val="24"/>
                <w:szCs w:val="24"/>
              </w:rPr>
            </w:pPr>
          </w:p>
          <w:p w:rsidR="002865F2" w:rsidRDefault="00B91089" w:rsidP="00B91089">
            <w:pPr>
              <w:pBdr>
                <w:top w:val="nil"/>
                <w:left w:val="nil"/>
                <w:bottom w:val="nil"/>
                <w:right w:val="nil"/>
                <w:between w:val="nil"/>
              </w:pBdr>
              <w:tabs>
                <w:tab w:val="left" w:pos="-9"/>
              </w:tabs>
              <w:spacing w:after="120"/>
              <w:ind w:left="170"/>
              <w:jc w:val="left"/>
              <w:rPr>
                <w:rFonts w:eastAsia="Arial"/>
                <w:color w:val="000000"/>
                <w:sz w:val="24"/>
                <w:szCs w:val="24"/>
              </w:rPr>
            </w:pPr>
            <w:r>
              <w:rPr>
                <w:rFonts w:eastAsia="Arial"/>
                <w:color w:val="000000"/>
                <w:sz w:val="24"/>
                <w:szCs w:val="24"/>
              </w:rPr>
              <w:t>has the meaning given to it in Paragraph 1.2 of this Schedule;</w:t>
            </w:r>
          </w:p>
        </w:tc>
      </w:tr>
      <w:tr w:rsidR="002865F2">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6086" w:type="dxa"/>
          </w:tcPr>
          <w:p w:rsidR="002865F2" w:rsidRDefault="00B91089" w:rsidP="00B91089">
            <w:pPr>
              <w:pBdr>
                <w:top w:val="nil"/>
                <w:left w:val="nil"/>
                <w:bottom w:val="nil"/>
                <w:right w:val="nil"/>
                <w:between w:val="nil"/>
              </w:pBdr>
              <w:tabs>
                <w:tab w:val="left" w:pos="-9"/>
              </w:tabs>
              <w:spacing w:after="120"/>
              <w:ind w:left="170"/>
              <w:jc w:val="left"/>
              <w:rPr>
                <w:rFonts w:eastAsia="Arial"/>
                <w:color w:val="000000"/>
                <w:sz w:val="24"/>
                <w:szCs w:val="24"/>
              </w:rPr>
            </w:pPr>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2865F2">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6086" w:type="dxa"/>
          </w:tcPr>
          <w:p w:rsidR="002865F2" w:rsidRDefault="00B91089" w:rsidP="00B91089">
            <w:pPr>
              <w:pBdr>
                <w:top w:val="nil"/>
                <w:left w:val="nil"/>
                <w:bottom w:val="nil"/>
                <w:right w:val="nil"/>
                <w:between w:val="nil"/>
              </w:pBdr>
              <w:tabs>
                <w:tab w:val="left" w:pos="-9"/>
                <w:tab w:val="left" w:pos="-179"/>
              </w:tabs>
              <w:spacing w:after="120"/>
              <w:ind w:left="17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2865F2">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6086" w:type="dxa"/>
          </w:tcPr>
          <w:p w:rsidR="002865F2" w:rsidRDefault="00B91089" w:rsidP="00B9108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1.3.3 of this Schedule;</w:t>
            </w:r>
          </w:p>
        </w:tc>
      </w:tr>
      <w:tr w:rsidR="002865F2">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6086" w:type="dxa"/>
          </w:tcPr>
          <w:p w:rsidR="002865F2" w:rsidRDefault="00B91089" w:rsidP="00B9108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2865F2">
        <w:trPr>
          <w:trHeight w:val="567"/>
        </w:trPr>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6086" w:type="dxa"/>
          </w:tcPr>
          <w:p w:rsidR="002865F2" w:rsidRDefault="00B91089" w:rsidP="00B9108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2865F2">
        <w:trPr>
          <w:trHeight w:val="567"/>
        </w:trPr>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6086" w:type="dxa"/>
          </w:tcPr>
          <w:p w:rsidR="002865F2" w:rsidRDefault="00B91089" w:rsidP="00B9108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5.3 of this Schedule; and</w:t>
            </w:r>
          </w:p>
        </w:tc>
      </w:tr>
      <w:tr w:rsidR="002865F2">
        <w:tc>
          <w:tcPr>
            <w:tcW w:w="2040" w:type="dxa"/>
          </w:tcPr>
          <w:p w:rsidR="002865F2" w:rsidRDefault="00B91089">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6086" w:type="dxa"/>
          </w:tcPr>
          <w:p w:rsidR="002865F2" w:rsidRDefault="00B91089" w:rsidP="00B91089">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Paragraph 5.3 of this Schedule.</w:t>
            </w:r>
          </w:p>
        </w:tc>
      </w:tr>
    </w:tbl>
    <w:p w:rsidR="002865F2" w:rsidRDefault="00B91089">
      <w:pPr>
        <w:keepNext/>
        <w:pBdr>
          <w:top w:val="nil"/>
          <w:left w:val="nil"/>
          <w:bottom w:val="nil"/>
          <w:right w:val="nil"/>
          <w:between w:val="nil"/>
        </w:pBdr>
        <w:tabs>
          <w:tab w:val="left" w:pos="0"/>
        </w:tabs>
        <w:spacing w:before="240"/>
        <w:ind w:left="360" w:hanging="360"/>
        <w:jc w:val="left"/>
        <w:rPr>
          <w:rFonts w:eastAsia="Arial"/>
          <w:b/>
          <w:color w:val="000000"/>
          <w:sz w:val="24"/>
          <w:szCs w:val="24"/>
        </w:rPr>
      </w:pPr>
      <w:r>
        <w:rPr>
          <w:rFonts w:eastAsia="Arial"/>
          <w:b/>
          <w:color w:val="000000"/>
          <w:sz w:val="24"/>
          <w:szCs w:val="24"/>
        </w:rPr>
        <w:t>BCDR Plan</w:t>
      </w:r>
    </w:p>
    <w:p w:rsidR="002865F2" w:rsidRDefault="00B91089">
      <w:pPr>
        <w:keepNext/>
        <w:pBdr>
          <w:top w:val="nil"/>
          <w:left w:val="nil"/>
          <w:bottom w:val="nil"/>
          <w:right w:val="nil"/>
          <w:between w:val="nil"/>
        </w:pBdr>
        <w:tabs>
          <w:tab w:val="left" w:pos="0"/>
        </w:tabs>
        <w:spacing w:before="240"/>
        <w:ind w:left="360" w:hanging="360"/>
        <w:jc w:val="left"/>
        <w:rPr>
          <w:rFonts w:eastAsia="Arial"/>
          <w:b/>
          <w:smallCaps/>
          <w:color w:val="000000"/>
          <w:sz w:val="24"/>
          <w:szCs w:val="24"/>
        </w:rPr>
      </w:pPr>
      <w:r>
        <w:rPr>
          <w:rFonts w:eastAsia="Arial"/>
          <w:b/>
          <w:color w:val="000000"/>
          <w:sz w:val="24"/>
          <w:szCs w:val="24"/>
        </w:rPr>
        <w:t>1. BCDR Plan</w:t>
      </w:r>
    </w:p>
    <w:p w:rsidR="002865F2" w:rsidRDefault="00B91089">
      <w:pPr>
        <w:pBdr>
          <w:top w:val="nil"/>
          <w:left w:val="nil"/>
          <w:bottom w:val="nil"/>
          <w:right w:val="nil"/>
          <w:between w:val="nil"/>
        </w:pBdr>
        <w:spacing w:before="120" w:after="120"/>
        <w:ind w:left="936" w:hanging="576"/>
        <w:jc w:val="left"/>
        <w:rPr>
          <w:rFonts w:eastAsia="Arial"/>
          <w:color w:val="000000"/>
          <w:sz w:val="24"/>
          <w:szCs w:val="24"/>
        </w:rPr>
      </w:pPr>
      <w:bookmarkStart w:id="1" w:name="_heading=h.30j0zll" w:colFirst="0" w:colLast="0"/>
      <w:bookmarkEnd w:id="1"/>
      <w:r>
        <w:rPr>
          <w:rFonts w:eastAsia="Arial"/>
          <w:color w:val="000000"/>
          <w:sz w:val="24"/>
          <w:szCs w:val="24"/>
        </w:rPr>
        <w:t xml:space="preserve">1.2 At least thirty (30)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rsidR="002865F2" w:rsidRDefault="00B91089">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r>
        <w:rPr>
          <w:rFonts w:eastAsia="Arial"/>
          <w:color w:val="000000"/>
          <w:sz w:val="24"/>
          <w:szCs w:val="24"/>
        </w:rPr>
        <w:lastRenderedPageBreak/>
        <w:t>1.2.1 ensure continuity of the business processes and operations supported by the Services following any failure or disruption of any element of the Deliverables; and</w:t>
      </w:r>
    </w:p>
    <w:p w:rsidR="002865F2" w:rsidRDefault="00B91089">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r>
        <w:rPr>
          <w:rFonts w:eastAsia="Arial"/>
          <w:color w:val="000000"/>
          <w:sz w:val="24"/>
          <w:szCs w:val="24"/>
        </w:rPr>
        <w:t xml:space="preserve">1.2.2 the recovery of the Deliverables in the event of a Disaster </w:t>
      </w:r>
    </w:p>
    <w:p w:rsidR="002865F2" w:rsidRDefault="00B91089">
      <w:pPr>
        <w:keepNext/>
        <w:pBdr>
          <w:top w:val="nil"/>
          <w:left w:val="nil"/>
          <w:bottom w:val="nil"/>
          <w:right w:val="nil"/>
          <w:between w:val="nil"/>
        </w:pBdr>
        <w:spacing w:before="120" w:after="120"/>
        <w:ind w:left="936" w:hanging="576"/>
        <w:jc w:val="left"/>
        <w:rPr>
          <w:rFonts w:eastAsia="Arial"/>
          <w:color w:val="000000"/>
          <w:sz w:val="24"/>
          <w:szCs w:val="24"/>
        </w:rPr>
      </w:pPr>
      <w:r>
        <w:rPr>
          <w:rFonts w:eastAsia="Arial"/>
          <w:color w:val="000000"/>
          <w:sz w:val="24"/>
          <w:szCs w:val="24"/>
        </w:rPr>
        <w:t>1.3 The BCDR Plan shall be divided into four sections:</w:t>
      </w:r>
    </w:p>
    <w:p w:rsidR="002865F2" w:rsidRDefault="00B91089">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bookmarkStart w:id="2" w:name="_heading=h.1fob9te" w:colFirst="0" w:colLast="0"/>
      <w:bookmarkEnd w:id="2"/>
      <w:r>
        <w:rPr>
          <w:rFonts w:eastAsia="Arial"/>
          <w:color w:val="000000"/>
          <w:sz w:val="24"/>
          <w:szCs w:val="24"/>
        </w:rPr>
        <w:t xml:space="preserve">1.3.1 Section 1 which shall set out general principles applicable to the BCDR Plan; </w:t>
      </w:r>
    </w:p>
    <w:p w:rsidR="002865F2" w:rsidRDefault="00B91089">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bookmarkStart w:id="3" w:name="_heading=h.3znysh7" w:colFirst="0" w:colLast="0"/>
      <w:bookmarkEnd w:id="3"/>
      <w:r>
        <w:rPr>
          <w:rFonts w:eastAsia="Arial"/>
          <w:color w:val="000000"/>
          <w:sz w:val="24"/>
          <w:szCs w:val="24"/>
        </w:rPr>
        <w:t xml:space="preserve">1.3.2 Section 2 which shall relate to business continuity (the </w:t>
      </w:r>
      <w:r>
        <w:rPr>
          <w:rFonts w:eastAsia="Arial"/>
          <w:b/>
          <w:color w:val="000000"/>
          <w:sz w:val="24"/>
          <w:szCs w:val="24"/>
        </w:rPr>
        <w:t>"Business Continuity Plan"</w:t>
      </w:r>
      <w:r>
        <w:rPr>
          <w:rFonts w:eastAsia="Arial"/>
          <w:color w:val="000000"/>
          <w:sz w:val="24"/>
          <w:szCs w:val="24"/>
        </w:rPr>
        <w:t>); and</w:t>
      </w:r>
    </w:p>
    <w:p w:rsidR="002865F2" w:rsidRDefault="00B91089">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highlight w:val="yellow"/>
        </w:rPr>
      </w:pPr>
      <w:bookmarkStart w:id="4" w:name="_heading=h.2et92p0" w:colFirst="0" w:colLast="0"/>
      <w:bookmarkEnd w:id="4"/>
      <w:r>
        <w:rPr>
          <w:rFonts w:eastAsia="Arial"/>
          <w:color w:val="000000"/>
          <w:sz w:val="24"/>
          <w:szCs w:val="24"/>
        </w:rPr>
        <w:t xml:space="preserve">1.3.3Section 3 which shall relate to disaster recovery (the </w:t>
      </w:r>
      <w:r>
        <w:rPr>
          <w:rFonts w:eastAsia="Arial"/>
          <w:b/>
          <w:color w:val="000000"/>
          <w:sz w:val="24"/>
          <w:szCs w:val="24"/>
        </w:rPr>
        <w:t>"Disaster Recovery Plan"</w:t>
      </w:r>
      <w:r>
        <w:rPr>
          <w:rFonts w:eastAsia="Arial"/>
          <w:color w:val="000000"/>
          <w:sz w:val="24"/>
          <w:szCs w:val="24"/>
        </w:rPr>
        <w:t>); [</w:t>
      </w:r>
      <w:r>
        <w:rPr>
          <w:rFonts w:eastAsia="Arial"/>
          <w:color w:val="000000"/>
          <w:sz w:val="24"/>
          <w:szCs w:val="24"/>
          <w:highlight w:val="yellow"/>
        </w:rPr>
        <w:t>and</w:t>
      </w:r>
    </w:p>
    <w:p w:rsidR="002865F2" w:rsidRDefault="00B91089">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r>
        <w:rPr>
          <w:rFonts w:eastAsia="Arial"/>
          <w:color w:val="000000"/>
          <w:sz w:val="24"/>
          <w:szCs w:val="24"/>
          <w:highlight w:val="yellow"/>
        </w:rPr>
        <w:t xml:space="preserve">1.3.4 Section 4 which shall relate to an Insolvency Event of the Supplier, and Key-Subcontractors and/or any Supplier Group member (the </w:t>
      </w:r>
      <w:r>
        <w:rPr>
          <w:rFonts w:eastAsia="Arial"/>
          <w:b/>
          <w:color w:val="000000"/>
          <w:sz w:val="24"/>
          <w:szCs w:val="24"/>
          <w:highlight w:val="yellow"/>
        </w:rPr>
        <w:t>“Insolvency Continuity Plan”</w:t>
      </w:r>
      <w:r>
        <w:rPr>
          <w:rFonts w:eastAsia="Arial"/>
          <w:color w:val="000000"/>
          <w:sz w:val="24"/>
          <w:szCs w:val="24"/>
          <w:highlight w:val="yellow"/>
        </w:rPr>
        <w:t>).]</w:t>
      </w:r>
    </w:p>
    <w:p w:rsidR="002865F2" w:rsidRDefault="00B91089">
      <w:pPr>
        <w:pBdr>
          <w:top w:val="nil"/>
          <w:left w:val="nil"/>
          <w:bottom w:val="nil"/>
          <w:right w:val="nil"/>
          <w:between w:val="nil"/>
        </w:pBdr>
        <w:spacing w:before="120" w:after="120"/>
        <w:ind w:left="284" w:hanging="576"/>
        <w:jc w:val="left"/>
        <w:rPr>
          <w:rFonts w:eastAsia="Arial"/>
          <w:color w:val="000000"/>
          <w:sz w:val="24"/>
          <w:szCs w:val="24"/>
        </w:rPr>
      </w:pPr>
      <w:bookmarkStart w:id="5" w:name="_heading=h.tyjcwt" w:colFirst="0" w:colLast="0"/>
      <w:bookmarkEnd w:id="5"/>
      <w:r>
        <w:rPr>
          <w:rFonts w:eastAsia="Arial"/>
          <w:color w:val="000000"/>
          <w:sz w:val="24"/>
          <w:szCs w:val="24"/>
        </w:rPr>
        <w:t>1.4</w:t>
      </w:r>
      <w:r>
        <w:rPr>
          <w:rFonts w:eastAsia="Arial"/>
          <w:color w:val="000000"/>
          <w:sz w:val="24"/>
          <w:szCs w:val="24"/>
        </w:rPr>
        <w:tab/>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2865F2" w:rsidRDefault="00B91089">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bookmarkStart w:id="6" w:name="_heading=h.3dy6vkm" w:colFirst="0" w:colLast="0"/>
      <w:bookmarkEnd w:id="6"/>
      <w:r>
        <w:rPr>
          <w:rFonts w:eastAsia="Arial"/>
          <w:b/>
          <w:color w:val="000000"/>
          <w:sz w:val="24"/>
          <w:szCs w:val="24"/>
        </w:rPr>
        <w:t>General Principles of the BCDR Plan (Section 1)</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rsidR="002865F2" w:rsidRDefault="00B91089">
      <w:pPr>
        <w:keepNext/>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rsidR="002865F2" w:rsidRDefault="00B91089">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rsidR="002865F2" w:rsidRDefault="00B91089">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rsidR="002865F2" w:rsidRDefault="00B91089">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risks arising from an Insolvency Event of the Supplier, any Key Subcontractors and/or Supplier Group member;</w:t>
      </w:r>
    </w:p>
    <w:p w:rsidR="002865F2" w:rsidRDefault="00B91089">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rsidR="002865F2" w:rsidRDefault="00B91089">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identify the responsibilities (if any) that the Buyer has agreed it will assume in the event of the invocation of the BCDR Plan; </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rsidR="002865F2" w:rsidRDefault="002865F2">
      <w:pPr>
        <w:pBdr>
          <w:top w:val="nil"/>
          <w:left w:val="nil"/>
          <w:bottom w:val="nil"/>
          <w:right w:val="nil"/>
          <w:between w:val="nil"/>
        </w:pBdr>
        <w:tabs>
          <w:tab w:val="left" w:pos="1985"/>
          <w:tab w:val="left" w:pos="2127"/>
        </w:tabs>
        <w:spacing w:before="120" w:after="120"/>
        <w:ind w:left="720" w:hanging="1296"/>
        <w:jc w:val="left"/>
        <w:rPr>
          <w:rFonts w:eastAsia="Arial"/>
          <w:color w:val="000000"/>
          <w:sz w:val="24"/>
          <w:szCs w:val="24"/>
        </w:rPr>
      </w:pP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(at the Buyer’s request) any Related Supplier with respect to issues concerning insolvency continuity where applicable; and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links and interoperates with any overarching and/or connected insolvency continuity plan of the Buyer and any of its other Related Suppliers in each case as notified to the Supplier by the Buyer from time to time.</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Supplier shall not be entitled to any relief from its obligations under the Performance Indicators (PI’s) or Service Levels, or to any increase in the Charges to the extent that a Disaster occurs as a consequence of any breach by the Supplier of this Contract.</w:t>
      </w:r>
    </w:p>
    <w:p w:rsidR="002865F2" w:rsidRDefault="00B91089">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Business Continuity (Section 2)</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bookmarkStart w:id="7" w:name="_heading=h.1t3h5sf" w:colFirst="0" w:colLast="0"/>
      <w:bookmarkEnd w:id="7"/>
      <w:r>
        <w:rPr>
          <w:rFonts w:eastAsia="Arial"/>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set out the goods and/or services to be provided and the steps to be taken to remedy the different levels of failures of and disruption to the Deliverables;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rsidR="002865F2" w:rsidRDefault="00B91089">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Disaster Recovery (Section 3)</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emergency notification and escalation process;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rsidR="002865F2" w:rsidRDefault="002865F2">
      <w:pPr>
        <w:keepNext/>
        <w:pBdr>
          <w:top w:val="nil"/>
          <w:left w:val="nil"/>
          <w:bottom w:val="nil"/>
          <w:right w:val="nil"/>
          <w:between w:val="nil"/>
        </w:pBdr>
        <w:tabs>
          <w:tab w:val="left" w:pos="0"/>
        </w:tabs>
        <w:spacing w:before="240"/>
        <w:ind w:left="720" w:hanging="720"/>
        <w:jc w:val="left"/>
        <w:rPr>
          <w:rFonts w:eastAsia="Arial"/>
          <w:b/>
          <w:color w:val="000000"/>
          <w:sz w:val="24"/>
          <w:szCs w:val="24"/>
        </w:rPr>
      </w:pPr>
    </w:p>
    <w:p w:rsidR="002865F2" w:rsidRDefault="002865F2">
      <w:pPr>
        <w:pBdr>
          <w:top w:val="nil"/>
          <w:left w:val="nil"/>
          <w:bottom w:val="nil"/>
          <w:right w:val="nil"/>
          <w:between w:val="nil"/>
        </w:pBdr>
        <w:spacing w:before="120" w:after="120"/>
        <w:ind w:left="936" w:hanging="576"/>
        <w:rPr>
          <w:rFonts w:eastAsia="Arial"/>
          <w:color w:val="000000"/>
          <w:sz w:val="24"/>
          <w:szCs w:val="24"/>
        </w:rPr>
      </w:pPr>
    </w:p>
    <w:p w:rsidR="002865F2" w:rsidRDefault="00B91089">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Review and changing the BCDR Plan</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The Supplier shall review the BCDR Plan:</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on a regular basis and as a minimum once every six (6) Months;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within three (3) calendar Months of the BCDR Plan (or any part) having been invoked pursuant to Paragraph 7; and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 xml:space="preserve">where the Buyer requests in writing any additional reviews (over and above those provided for in Paragraphs 5.1.1 and 5.1.2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t xml:space="preserve">Each review of the BCDR Plan pursuant to Paragraph 5.1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w:t>
      </w:r>
      <w:r>
        <w:rPr>
          <w:rFonts w:eastAsia="Arial"/>
          <w:color w:val="000000"/>
          <w:sz w:val="24"/>
          <w:szCs w:val="24"/>
        </w:rPr>
        <w:lastRenderedPageBreak/>
        <w:t xml:space="preserve">review shall be completed by the Supplier within such period as the Buyer shall reasonably require.  </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2865F2" w:rsidRDefault="00B91089">
      <w:pPr>
        <w:keepNext/>
        <w:numPr>
          <w:ilvl w:val="0"/>
          <w:numId w:val="3"/>
        </w:numPr>
        <w:pBdr>
          <w:top w:val="nil"/>
          <w:left w:val="nil"/>
          <w:bottom w:val="nil"/>
          <w:right w:val="nil"/>
          <w:between w:val="nil"/>
        </w:pBdr>
        <w:tabs>
          <w:tab w:val="left" w:pos="0"/>
        </w:tabs>
        <w:spacing w:before="240"/>
        <w:ind w:left="504"/>
        <w:jc w:val="left"/>
        <w:rPr>
          <w:rFonts w:eastAsia="Arial"/>
          <w:b/>
          <w:color w:val="000000"/>
          <w:sz w:val="24"/>
          <w:szCs w:val="24"/>
        </w:rPr>
      </w:pPr>
      <w:bookmarkStart w:id="17" w:name="_heading=h.2jxsxqh" w:colFirst="0" w:colLast="0"/>
      <w:bookmarkEnd w:id="17"/>
      <w:r>
        <w:rPr>
          <w:rFonts w:eastAsia="Arial"/>
          <w:b/>
          <w:color w:val="000000"/>
          <w:sz w:val="24"/>
          <w:szCs w:val="24"/>
        </w:rPr>
        <w:t>Testing the BCDR Plan</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bookmarkStart w:id="18" w:name="_heading=h.z337ya" w:colFirst="0" w:colLast="0"/>
      <w:bookmarkEnd w:id="18"/>
      <w:r>
        <w:rPr>
          <w:rFonts w:eastAsia="Arial"/>
          <w:color w:val="000000"/>
          <w:sz w:val="24"/>
          <w:szCs w:val="24"/>
        </w:rPr>
        <w:t xml:space="preserve">The Supplier shall test the BCDR Plan: </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2865F2" w:rsidRDefault="00B91089">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failures in the BCDR Plan (including the BCDR Plan's procedures) revealed by the test; and</w:t>
      </w:r>
    </w:p>
    <w:p w:rsidR="002865F2" w:rsidRDefault="00B91089">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rsidR="002865F2" w:rsidRDefault="00B91089">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bookmarkStart w:id="21" w:name="_heading=h.4i7ojhp" w:colFirst="0" w:colLast="0"/>
      <w:bookmarkEnd w:id="21"/>
      <w:r>
        <w:rPr>
          <w:rFonts w:eastAsia="Arial"/>
          <w:b/>
          <w:color w:val="000000"/>
          <w:sz w:val="24"/>
          <w:szCs w:val="24"/>
        </w:rPr>
        <w:t>Invoking the BCDR Plan</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2865F2" w:rsidRDefault="00B91089">
      <w:pPr>
        <w:keepNext/>
        <w:numPr>
          <w:ilvl w:val="0"/>
          <w:numId w:val="3"/>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eastAsia="Arial"/>
          <w:b/>
          <w:color w:val="000000"/>
          <w:sz w:val="24"/>
          <w:szCs w:val="24"/>
        </w:rPr>
        <w:t>ircumstances beyond your control</w:t>
      </w:r>
    </w:p>
    <w:p w:rsidR="002865F2" w:rsidRDefault="00B91089">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rsidR="002865F2" w:rsidRDefault="00B91089">
      <w:pPr>
        <w:numPr>
          <w:ilvl w:val="0"/>
          <w:numId w:val="3"/>
        </w:numPr>
        <w:pBdr>
          <w:top w:val="nil"/>
          <w:left w:val="nil"/>
          <w:bottom w:val="nil"/>
          <w:right w:val="nil"/>
          <w:between w:val="nil"/>
        </w:pBdr>
        <w:tabs>
          <w:tab w:val="left" w:pos="0"/>
        </w:tabs>
        <w:spacing w:before="240"/>
        <w:rPr>
          <w:rFonts w:eastAsia="Arial"/>
          <w:b/>
          <w:smallCaps/>
          <w:color w:val="000000"/>
          <w:highlight w:val="yellow"/>
        </w:rPr>
      </w:pPr>
      <w:bookmarkStart w:id="22" w:name="_heading=h.2xcytpi" w:colFirst="0" w:colLast="0"/>
      <w:bookmarkEnd w:id="22"/>
      <w:r>
        <w:rPr>
          <w:rFonts w:eastAsia="Arial"/>
          <w:b/>
          <w:smallCaps/>
          <w:color w:val="000000"/>
          <w:highlight w:val="yellow"/>
        </w:rPr>
        <w:t>[Insolvency Continuity Plan (Section 4)</w:t>
      </w:r>
    </w:p>
    <w:p w:rsidR="002865F2" w:rsidRDefault="00B91089">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2865F2" w:rsidRDefault="00B91089">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The Insolvency Continuity Plan shall include the following:</w:t>
      </w:r>
    </w:p>
    <w:p w:rsidR="002865F2" w:rsidRDefault="00B91089">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2865F2" w:rsidRDefault="00B91089">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rsidR="002865F2" w:rsidRDefault="00B91089">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plans to manage and mitigate identified risks;</w:t>
      </w:r>
    </w:p>
    <w:p w:rsidR="002865F2" w:rsidRDefault="00B91089">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details of the roles and responsibilities of the Supplier, Key Subcontractors and/or Supplier Group members to minimise and mitigate the effects of an Insolvency Event of such persons on the Deliverables;</w:t>
      </w:r>
    </w:p>
    <w:p w:rsidR="002865F2" w:rsidRDefault="00B91089">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lastRenderedPageBreak/>
        <w:t>details of the recovery team to be put in place by the Supplier (which may include representatives of the Supplier, Key Subcontractors and Supplier Group members); and</w:t>
      </w:r>
    </w:p>
    <w:p w:rsidR="002865F2" w:rsidRDefault="00B91089">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sufficient detail to enable an appointed insolvency practitioner to invoke the plan in the event of an Insolvency Event of the Supplier.</w:t>
      </w:r>
    </w:p>
    <w:p w:rsidR="002865F2" w:rsidRDefault="00B91089">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Paragraph 2.1.6(c) is amended with the addition of the words:</w:t>
      </w:r>
    </w:p>
    <w:p w:rsidR="002865F2" w:rsidRDefault="00B91089">
      <w:pPr>
        <w:pBdr>
          <w:top w:val="nil"/>
          <w:left w:val="nil"/>
          <w:bottom w:val="nil"/>
          <w:right w:val="nil"/>
          <w:between w:val="nil"/>
        </w:pBdr>
        <w:tabs>
          <w:tab w:val="left" w:pos="1985"/>
          <w:tab w:val="left" w:pos="2127"/>
        </w:tabs>
        <w:spacing w:before="120" w:after="120"/>
        <w:ind w:left="720"/>
        <w:rPr>
          <w:color w:val="000000"/>
          <w:sz w:val="24"/>
          <w:szCs w:val="24"/>
          <w:highlight w:val="yellow"/>
        </w:rPr>
      </w:pPr>
      <w:r>
        <w:rPr>
          <w:color w:val="000000"/>
          <w:sz w:val="24"/>
          <w:szCs w:val="24"/>
          <w:highlight w:val="yellow"/>
        </w:rPr>
        <w:t>as may be more fully described in the Insolvency Continuity Plan</w:t>
      </w:r>
    </w:p>
    <w:p w:rsidR="002865F2" w:rsidRDefault="00B91089">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Add new paragraph 2.1.15:</w:t>
      </w:r>
    </w:p>
    <w:p w:rsidR="002865F2" w:rsidRDefault="00B91089">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highlight w:val="yellow"/>
        </w:rPr>
      </w:pPr>
      <w:r>
        <w:rPr>
          <w:color w:val="000000"/>
          <w:sz w:val="24"/>
          <w:szCs w:val="24"/>
          <w:highlight w:val="yellow"/>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rsidR="002865F2" w:rsidRDefault="00B91089">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Add new paragraph 7.2:</w:t>
      </w:r>
    </w:p>
    <w:p w:rsidR="002865F2" w:rsidRDefault="00B91089">
      <w:pPr>
        <w:numPr>
          <w:ilvl w:val="1"/>
          <w:numId w:val="2"/>
        </w:numPr>
        <w:pBdr>
          <w:top w:val="nil"/>
          <w:left w:val="nil"/>
          <w:bottom w:val="nil"/>
          <w:right w:val="nil"/>
          <w:between w:val="nil"/>
        </w:pBdr>
        <w:spacing w:before="120" w:after="0"/>
        <w:jc w:val="left"/>
        <w:rPr>
          <w:color w:val="000000"/>
          <w:sz w:val="24"/>
          <w:szCs w:val="24"/>
          <w:highlight w:val="yellow"/>
        </w:rPr>
      </w:pPr>
      <w:r>
        <w:rPr>
          <w:color w:val="000000"/>
          <w:sz w:val="24"/>
          <w:szCs w:val="24"/>
          <w:highlight w:val="yellow"/>
        </w:rPr>
        <w:t xml:space="preserve"> The Insolvency Continuity Plan element of the BCDR Plan, including any linked elements in other parts of the BCDR Plan, shall be invoked by the Supplier:</w:t>
      </w:r>
    </w:p>
    <w:p w:rsidR="002865F2" w:rsidRDefault="00B91089">
      <w:pPr>
        <w:numPr>
          <w:ilvl w:val="2"/>
          <w:numId w:val="2"/>
        </w:numPr>
        <w:pBdr>
          <w:top w:val="nil"/>
          <w:left w:val="nil"/>
          <w:bottom w:val="nil"/>
          <w:right w:val="nil"/>
          <w:between w:val="nil"/>
        </w:pBdr>
        <w:tabs>
          <w:tab w:val="left" w:pos="1985"/>
          <w:tab w:val="left" w:pos="2127"/>
        </w:tabs>
        <w:spacing w:after="120"/>
        <w:ind w:left="1985" w:hanging="851"/>
        <w:jc w:val="left"/>
        <w:rPr>
          <w:color w:val="000000"/>
          <w:sz w:val="24"/>
          <w:szCs w:val="24"/>
          <w:highlight w:val="yellow"/>
        </w:rPr>
      </w:pPr>
      <w:r>
        <w:rPr>
          <w:color w:val="000000"/>
          <w:sz w:val="24"/>
          <w:szCs w:val="24"/>
          <w:highlight w:val="yellow"/>
        </w:rPr>
        <w:t>where an Insolvency Event of a Key Sub-contractor and/or Supplier Group member (other than the Supplier) could reasonably be expected to adversely affect delivery of the Deliverables; and/or</w:t>
      </w:r>
    </w:p>
    <w:p w:rsidR="002865F2" w:rsidRDefault="00B91089">
      <w:pPr>
        <w:numPr>
          <w:ilvl w:val="2"/>
          <w:numId w:val="2"/>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Pr>
          <w:color w:val="000000"/>
          <w:sz w:val="24"/>
          <w:szCs w:val="24"/>
          <w:highlight w:val="yellow"/>
        </w:rPr>
        <w:t>where there is an Insolvency Event of the Supplier and the insolvency arrangements enable the Supplier to invoke the plan.</w:t>
      </w:r>
    </w:p>
    <w:p w:rsidR="002865F2" w:rsidRDefault="002865F2">
      <w:pPr>
        <w:keepNext/>
        <w:pBdr>
          <w:top w:val="nil"/>
          <w:left w:val="nil"/>
          <w:bottom w:val="nil"/>
          <w:right w:val="nil"/>
          <w:between w:val="nil"/>
        </w:pBdr>
        <w:tabs>
          <w:tab w:val="left" w:pos="0"/>
        </w:tabs>
        <w:spacing w:before="240"/>
        <w:ind w:left="360" w:hanging="720"/>
        <w:jc w:val="left"/>
        <w:rPr>
          <w:rFonts w:eastAsia="Arial"/>
          <w:b/>
          <w:smallCaps/>
          <w:color w:val="000000"/>
          <w:sz w:val="24"/>
          <w:szCs w:val="24"/>
        </w:rPr>
      </w:pPr>
    </w:p>
    <w:p w:rsidR="002865F2" w:rsidRDefault="002865F2">
      <w:pPr>
        <w:pBdr>
          <w:top w:val="nil"/>
          <w:left w:val="nil"/>
          <w:bottom w:val="nil"/>
          <w:right w:val="nil"/>
          <w:between w:val="nil"/>
        </w:pBdr>
        <w:spacing w:before="120" w:after="120"/>
        <w:ind w:left="0"/>
        <w:jc w:val="left"/>
        <w:rPr>
          <w:color w:val="000000"/>
          <w:sz w:val="24"/>
          <w:szCs w:val="24"/>
        </w:rPr>
      </w:pPr>
    </w:p>
    <w:p w:rsidR="002865F2" w:rsidRDefault="00B91089">
      <w:pPr>
        <w:ind w:left="0"/>
        <w:rPr>
          <w:color w:val="000000"/>
          <w:sz w:val="24"/>
          <w:szCs w:val="24"/>
        </w:rPr>
      </w:pPr>
      <w:bookmarkStart w:id="23" w:name="_heading=h.23ckvvd" w:colFirst="0" w:colLast="0"/>
      <w:bookmarkEnd w:id="23"/>
      <w:r>
        <w:t xml:space="preserve">     </w:t>
      </w:r>
    </w:p>
    <w:p w:rsidR="002865F2" w:rsidRDefault="002865F2"/>
    <w:sectPr w:rsidR="002865F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753" w:rsidRDefault="00B91089">
      <w:pPr>
        <w:spacing w:after="0"/>
      </w:pPr>
      <w:r>
        <w:separator/>
      </w:r>
    </w:p>
  </w:endnote>
  <w:endnote w:type="continuationSeparator" w:id="0">
    <w:p w:rsidR="00995753" w:rsidRDefault="00B910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5F2" w:rsidRDefault="002865F2">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5F2" w:rsidRDefault="002865F2">
    <w:pPr>
      <w:tabs>
        <w:tab w:val="center" w:pos="4513"/>
        <w:tab w:val="right" w:pos="9026"/>
      </w:tabs>
      <w:spacing w:after="0"/>
      <w:ind w:left="0"/>
      <w:rPr>
        <w:rFonts w:ascii="Calibri" w:eastAsia="Calibri" w:hAnsi="Calibri" w:cs="Calibri"/>
        <w:color w:val="A6A6A6"/>
      </w:rPr>
    </w:pPr>
  </w:p>
  <w:p w:rsidR="0011052F" w:rsidRDefault="0011052F" w:rsidP="0011052F">
    <w:pPr>
      <w:tabs>
        <w:tab w:val="center" w:pos="4513"/>
        <w:tab w:val="right" w:pos="9026"/>
      </w:tabs>
      <w:spacing w:after="0"/>
      <w:ind w:left="0"/>
      <w:rPr>
        <w:rFonts w:eastAsia="Arial"/>
        <w:sz w:val="20"/>
        <w:szCs w:val="20"/>
      </w:rPr>
    </w:pPr>
    <w:bookmarkStart w:id="25" w:name="_heading=h.1ci93xb" w:colFirst="0" w:colLast="0"/>
    <w:bookmarkEnd w:id="25"/>
    <w:r w:rsidRPr="00615FC7">
      <w:rPr>
        <w:rFonts w:eastAsia="Arial"/>
        <w:sz w:val="20"/>
        <w:szCs w:val="20"/>
      </w:rPr>
      <w:t>RM</w:t>
    </w:r>
    <w:r>
      <w:rPr>
        <w:rFonts w:eastAsia="Arial"/>
        <w:sz w:val="20"/>
        <w:szCs w:val="20"/>
      </w:rPr>
      <w:t>6350</w:t>
    </w:r>
    <w:r w:rsidRPr="00615FC7">
      <w:rPr>
        <w:rFonts w:eastAsia="Arial"/>
        <w:sz w:val="20"/>
        <w:szCs w:val="20"/>
      </w:rPr>
      <w:t>: Income Generation from Estates</w:t>
    </w:r>
    <w:r>
      <w:rPr>
        <w:rFonts w:eastAsia="Arial"/>
        <w:sz w:val="20"/>
        <w:szCs w:val="20"/>
      </w:rPr>
      <w:t xml:space="preserve">, </w:t>
    </w:r>
    <w:r w:rsidRPr="00615FC7">
      <w:rPr>
        <w:rFonts w:eastAsia="Arial"/>
        <w:sz w:val="20"/>
        <w:szCs w:val="20"/>
      </w:rPr>
      <w:t>Assets</w:t>
    </w:r>
    <w:r>
      <w:rPr>
        <w:rFonts w:eastAsia="Arial"/>
        <w:sz w:val="20"/>
        <w:szCs w:val="20"/>
      </w:rPr>
      <w:t xml:space="preserve"> &amp; IP</w:t>
    </w:r>
  </w:p>
  <w:p w:rsidR="0011052F" w:rsidRPr="003E0E2B" w:rsidRDefault="0011052F" w:rsidP="0011052F">
    <w:pPr>
      <w:pStyle w:val="Footer"/>
      <w:ind w:left="0"/>
      <w:rPr>
        <w:rFonts w:eastAsia="Arial"/>
        <w:color w:val="000000"/>
        <w:sz w:val="20"/>
        <w:szCs w:val="20"/>
      </w:rPr>
    </w:pPr>
    <w:r>
      <w:rPr>
        <w:rFonts w:eastAsia="Arial"/>
        <w:color w:val="000000"/>
        <w:sz w:val="20"/>
        <w:szCs w:val="20"/>
      </w:rPr>
      <w:t>v1.0</w:t>
    </w:r>
    <w:r>
      <w:rPr>
        <w:rFonts w:eastAsia="Arial"/>
        <w:color w:val="000000"/>
        <w:sz w:val="20"/>
        <w:szCs w:val="20"/>
      </w:rPr>
      <w:ptab w:relativeTo="margin" w:alignment="center" w:leader="none"/>
    </w:r>
    <w:r>
      <w:rPr>
        <w:rFonts w:eastAsia="Arial"/>
        <w:color w:val="000000"/>
        <w:sz w:val="20"/>
        <w:szCs w:val="20"/>
      </w:rPr>
      <w:ptab w:relativeTo="margin" w:alignment="right" w:leader="none"/>
    </w:r>
    <w:sdt>
      <w:sdtPr>
        <w:rPr>
          <w:sz w:val="20"/>
          <w:szCs w:val="20"/>
        </w:rPr>
        <w:id w:val="-1262908309"/>
        <w:docPartObj>
          <w:docPartGallery w:val="Page Numbers (Bottom of Page)"/>
          <w:docPartUnique/>
        </w:docPartObj>
      </w:sdtPr>
      <w:sdtEndPr>
        <w:rPr>
          <w:noProof/>
        </w:rPr>
      </w:sdtEndPr>
      <w:sdtContent>
        <w:r w:rsidRPr="003E0E2B">
          <w:rPr>
            <w:sz w:val="20"/>
            <w:szCs w:val="20"/>
          </w:rPr>
          <w:fldChar w:fldCharType="begin"/>
        </w:r>
        <w:r w:rsidRPr="003E0E2B">
          <w:rPr>
            <w:sz w:val="20"/>
            <w:szCs w:val="20"/>
          </w:rPr>
          <w:instrText xml:space="preserve"> PAGE   \* MERGEFORMAT </w:instrText>
        </w:r>
        <w:r w:rsidRPr="003E0E2B">
          <w:rPr>
            <w:sz w:val="20"/>
            <w:szCs w:val="20"/>
          </w:rPr>
          <w:fldChar w:fldCharType="separate"/>
        </w:r>
        <w:r w:rsidR="0093788A">
          <w:rPr>
            <w:noProof/>
            <w:sz w:val="20"/>
            <w:szCs w:val="20"/>
          </w:rPr>
          <w:t>1</w:t>
        </w:r>
        <w:r w:rsidRPr="003E0E2B">
          <w:rPr>
            <w:noProof/>
            <w:sz w:val="20"/>
            <w:szCs w:val="20"/>
          </w:rPr>
          <w:fldChar w:fldCharType="end"/>
        </w:r>
      </w:sdtContent>
    </w:sdt>
  </w:p>
  <w:p w:rsidR="002865F2" w:rsidRDefault="002865F2">
    <w:pPr>
      <w:pBdr>
        <w:top w:val="nil"/>
        <w:left w:val="nil"/>
        <w:bottom w:val="nil"/>
        <w:right w:val="nil"/>
        <w:between w:val="nil"/>
      </w:pBdr>
      <w:tabs>
        <w:tab w:val="center" w:pos="4513"/>
        <w:tab w:val="right" w:pos="9026"/>
      </w:tabs>
      <w:spacing w:after="0"/>
      <w:ind w:left="0"/>
      <w:rPr>
        <w:rFonts w:eastAsia="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5F2" w:rsidRDefault="00B9108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2865F2" w:rsidRDefault="00B9108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rsidR="002865F2" w:rsidRDefault="00B91089">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753" w:rsidRDefault="00B91089">
      <w:pPr>
        <w:spacing w:after="0"/>
      </w:pPr>
      <w:r>
        <w:separator/>
      </w:r>
    </w:p>
  </w:footnote>
  <w:footnote w:type="continuationSeparator" w:id="0">
    <w:p w:rsidR="00995753" w:rsidRDefault="00B910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5F2" w:rsidRDefault="002865F2">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5F2" w:rsidRDefault="00B91089">
    <w:pPr>
      <w:tabs>
        <w:tab w:val="center" w:pos="4513"/>
        <w:tab w:val="right" w:pos="9026"/>
      </w:tabs>
      <w:spacing w:after="0"/>
      <w:ind w:left="0"/>
      <w:jc w:val="left"/>
      <w:rPr>
        <w:sz w:val="20"/>
        <w:szCs w:val="20"/>
      </w:rPr>
    </w:pPr>
    <w:r>
      <w:rPr>
        <w:b/>
        <w:sz w:val="20"/>
        <w:szCs w:val="20"/>
      </w:rPr>
      <w:t>Order Schedule 8 (Business Continuity and Disaster Recovery)</w:t>
    </w:r>
  </w:p>
  <w:p w:rsidR="002865F2" w:rsidRDefault="0093788A">
    <w:pPr>
      <w:tabs>
        <w:tab w:val="center" w:pos="4513"/>
        <w:tab w:val="right" w:pos="9026"/>
      </w:tabs>
      <w:spacing w:after="0"/>
      <w:ind w:left="0"/>
      <w:jc w:val="left"/>
      <w:rPr>
        <w:sz w:val="20"/>
        <w:szCs w:val="20"/>
      </w:rPr>
    </w:pPr>
    <w:r>
      <w:rPr>
        <w:sz w:val="20"/>
        <w:szCs w:val="20"/>
      </w:rPr>
      <w:t xml:space="preserve">Crown Copyright </w:t>
    </w:r>
    <w:r>
      <w:rPr>
        <w:sz w:val="20"/>
        <w:szCs w:val="20"/>
      </w:rPr>
      <w:t>2024</w:t>
    </w:r>
    <w:bookmarkStart w:id="24" w:name="_GoBack"/>
    <w:bookmarkEnd w:id="24"/>
  </w:p>
  <w:p w:rsidR="002865F2" w:rsidRDefault="002865F2">
    <w:pPr>
      <w:tabs>
        <w:tab w:val="center" w:pos="4513"/>
        <w:tab w:val="right" w:pos="9026"/>
      </w:tabs>
      <w:spacing w:after="0"/>
      <w:ind w:left="0"/>
      <w:jc w:val="lef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65F2" w:rsidRDefault="002865F2">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F3CF7"/>
    <w:multiLevelType w:val="multilevel"/>
    <w:tmpl w:val="18ACD0CC"/>
    <w:lvl w:ilvl="0">
      <w:start w:val="7"/>
      <w:numFmt w:val="decimal"/>
      <w:pStyle w:val="GPsDefinition"/>
      <w:lvlText w:val="%1"/>
      <w:lvlJc w:val="left"/>
      <w:pPr>
        <w:ind w:left="360" w:hanging="360"/>
      </w:pPr>
    </w:lvl>
    <w:lvl w:ilvl="1">
      <w:start w:val="2"/>
      <w:numFmt w:val="decimal"/>
      <w:pStyle w:val="GPSDefinitionL2"/>
      <w:lvlText w:val="%1.%2"/>
      <w:lvlJc w:val="left"/>
      <w:pPr>
        <w:ind w:left="1080" w:hanging="360"/>
      </w:pPr>
    </w:lvl>
    <w:lvl w:ilvl="2">
      <w:start w:val="1"/>
      <w:numFmt w:val="decimal"/>
      <w:pStyle w:val="GPSDefinitionL3"/>
      <w:lvlText w:val="%1.%2.%3"/>
      <w:lvlJc w:val="left"/>
      <w:pPr>
        <w:ind w:left="2160" w:hanging="720"/>
      </w:pPr>
    </w:lvl>
    <w:lvl w:ilvl="3">
      <w:start w:val="1"/>
      <w:numFmt w:val="decimal"/>
      <w:pStyle w:val="GPSDefinitionL4"/>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5E193B60"/>
    <w:multiLevelType w:val="multilevel"/>
    <w:tmpl w:val="293429B8"/>
    <w:lvl w:ilvl="0">
      <w:start w:val="1"/>
      <w:numFmt w:val="decimal"/>
      <w:lvlText w:val="%1."/>
      <w:lvlJc w:val="left"/>
      <w:pPr>
        <w:ind w:left="1145" w:hanging="720"/>
      </w:pPr>
      <w:rPr>
        <w:smallCaps w:val="0"/>
        <w:strike w:val="0"/>
        <w:color w:val="000000"/>
        <w:u w:val="none"/>
        <w:vertAlign w:val="baseline"/>
      </w:rPr>
    </w:lvl>
    <w:lvl w:ilvl="1">
      <w:start w:val="1"/>
      <w:numFmt w:val="decimal"/>
      <w:lvlText w:val="%1.%2"/>
      <w:lvlJc w:val="left"/>
      <w:pPr>
        <w:ind w:left="1004"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61B413AC"/>
    <w:multiLevelType w:val="multilevel"/>
    <w:tmpl w:val="A0543A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820643A"/>
    <w:multiLevelType w:val="multilevel"/>
    <w:tmpl w:val="953830EE"/>
    <w:lvl w:ilvl="0">
      <w:start w:val="2"/>
      <w:numFmt w:val="decimal"/>
      <w:pStyle w:val="GPSL1CLAUSEHEADING"/>
      <w:lvlText w:val="%1"/>
      <w:lvlJc w:val="left"/>
      <w:pPr>
        <w:ind w:left="660" w:hanging="660"/>
      </w:pPr>
    </w:lvl>
    <w:lvl w:ilvl="1">
      <w:start w:val="1"/>
      <w:numFmt w:val="decimal"/>
      <w:pStyle w:val="GPSL2numberedclause"/>
      <w:lvlText w:val="%1.%2"/>
      <w:lvlJc w:val="left"/>
      <w:pPr>
        <w:ind w:left="1380" w:hanging="660"/>
      </w:pPr>
    </w:lvl>
    <w:lvl w:ilvl="2">
      <w:start w:val="15"/>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5F2"/>
    <w:rsid w:val="0011052F"/>
    <w:rsid w:val="002865F2"/>
    <w:rsid w:val="0093788A"/>
    <w:rsid w:val="00995753"/>
    <w:rsid w:val="00B91089"/>
    <w:rsid w:val="00CE7CA6"/>
    <w:rsid w:val="00EE2D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0338D50"/>
  <w15:docId w15:val="{4C751BC6-26F8-4E71-8017-112E48A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 w:val="num" w:pos="72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720" w:hanging="72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7458"/>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Q3cn+gWfS/r3J8V3Zk2OGZK96g==">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IzY2t2dmQyCWguMWNpOTN4YjgAaikKFHN1Z2dlc3Qub3lrdHNvYjY0a3V2EhFCcmlkZ2V0IFNhbnRhbmRlcmopChRzdWdnZXN0LjZ5enplZmpjeHAzbhIRQnJpZGdldCBTYW50YW5kZXJqKQoUc3VnZ2VzdC5uZTk2Mm92Z285ZzESEUJyaWRnZXQgU2FudGFuZGVyciExMW15bzlYQlB6OG5kZEYyZkJoWHJ1UkdyWkVPZERfa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2500</Words>
  <Characters>14252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DWF LLP</Company>
  <LinksUpToDate>false</LinksUpToDate>
  <CharactersWithSpaces>16719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DWF</cp:lastModifiedBy>
  <cp:revision>5</cp:revision>
  <dcterms:created xsi:type="dcterms:W3CDTF">2024-07-23T14:49:00Z</dcterms:created>
  <dcterms:modified xsi:type="dcterms:W3CDTF">2024-08-06T13:15:00Z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